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A9CBF">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both"/>
        <w:textAlignment w:val="center"/>
        <w:rPr>
          <w:rFonts w:ascii="宋体" w:hAnsi="宋体" w:eastAsia="宋体" w:cs="宋体"/>
          <w:b/>
          <w:bCs/>
          <w:snapToGrid w:val="0"/>
          <w:color w:val="000000"/>
          <w:spacing w:val="-4"/>
          <w:kern w:val="0"/>
          <w:sz w:val="39"/>
          <w:szCs w:val="39"/>
          <w:lang w:eastAsia="en-US"/>
        </w:rPr>
      </w:pPr>
      <w:r>
        <w:rPr>
          <w:rFonts w:hint="eastAsia" w:ascii="宋体" w:hAnsi="宋体" w:eastAsia="宋体" w:cs="宋体"/>
          <w:b/>
          <w:bCs/>
          <w:i w:val="0"/>
          <w:iCs w:val="0"/>
          <w:color w:val="000000"/>
          <w:kern w:val="0"/>
          <w:sz w:val="32"/>
          <w:szCs w:val="32"/>
          <w:u w:val="none"/>
          <w:lang w:val="en-US" w:eastAsia="zh-CN" w:bidi="ar"/>
        </w:rPr>
        <w:t>附件2</w:t>
      </w:r>
    </w:p>
    <w:p w14:paraId="007AF8F7">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eastAsia" w:ascii="宋体" w:hAnsi="宋体" w:eastAsia="宋体" w:cs="宋体"/>
          <w:b/>
          <w:bCs/>
          <w:i w:val="0"/>
          <w:iCs w:val="0"/>
          <w:color w:val="000000"/>
          <w:kern w:val="0"/>
          <w:sz w:val="40"/>
          <w:szCs w:val="40"/>
          <w:u w:val="none"/>
          <w:lang w:val="en-US" w:eastAsia="en-US" w:bidi="ar"/>
        </w:rPr>
      </w:pPr>
      <w:bookmarkStart w:id="0" w:name="_GoBack"/>
      <w:r>
        <w:rPr>
          <w:rFonts w:hint="eastAsia" w:ascii="宋体" w:hAnsi="宋体" w:eastAsia="宋体" w:cs="宋体"/>
          <w:b/>
          <w:bCs/>
          <w:i w:val="0"/>
          <w:iCs w:val="0"/>
          <w:color w:val="000000"/>
          <w:kern w:val="0"/>
          <w:sz w:val="40"/>
          <w:szCs w:val="40"/>
          <w:u w:val="none"/>
          <w:lang w:val="en-US" w:eastAsia="en-US" w:bidi="ar"/>
        </w:rPr>
        <w:t>呼和浩特市不予实施行政强制措施清单</w:t>
      </w:r>
    </w:p>
    <w:bookmarkEnd w:id="0"/>
    <w:p w14:paraId="12E00F90">
      <w:pPr>
        <w:pStyle w:val="2"/>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单位：</w:t>
      </w:r>
      <w:r>
        <w:rPr>
          <w:rFonts w:hint="eastAsia" w:cs="宋体"/>
          <w:b/>
          <w:bCs/>
          <w:i w:val="0"/>
          <w:iCs w:val="0"/>
          <w:color w:val="000000"/>
          <w:kern w:val="0"/>
          <w:sz w:val="36"/>
          <w:szCs w:val="36"/>
          <w:u w:val="none"/>
          <w:lang w:val="en-US" w:eastAsia="zh-CN" w:bidi="ar"/>
        </w:rPr>
        <w:t>呼和浩特市应急管理局</w:t>
      </w:r>
    </w:p>
    <w:p w14:paraId="7C9A873C">
      <w:pPr>
        <w:widowControl/>
        <w:kinsoku w:val="0"/>
        <w:autoSpaceDE w:val="0"/>
        <w:autoSpaceDN w:val="0"/>
        <w:adjustRightInd w:val="0"/>
        <w:snapToGrid w:val="0"/>
        <w:spacing w:line="121" w:lineRule="auto"/>
        <w:jc w:val="left"/>
        <w:textAlignment w:val="baseline"/>
        <w:rPr>
          <w:rFonts w:ascii="Arial" w:hAnsi="Arial" w:eastAsia="Arial" w:cs="Arial"/>
          <w:snapToGrid w:val="0"/>
          <w:color w:val="000000"/>
          <w:kern w:val="0"/>
          <w:sz w:val="2"/>
          <w:szCs w:val="21"/>
          <w:lang w:eastAsia="en-US"/>
        </w:rPr>
      </w:pPr>
    </w:p>
    <w:tbl>
      <w:tblPr>
        <w:tblStyle w:val="13"/>
        <w:tblW w:w="14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758"/>
        <w:gridCol w:w="3262"/>
        <w:gridCol w:w="2798"/>
        <w:gridCol w:w="3081"/>
        <w:gridCol w:w="1758"/>
        <w:gridCol w:w="1429"/>
      </w:tblGrid>
      <w:tr w14:paraId="0138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52" w:type="dxa"/>
            <w:vAlign w:val="top"/>
          </w:tcPr>
          <w:p w14:paraId="676C86AA">
            <w:pPr>
              <w:kinsoku w:val="0"/>
              <w:autoSpaceDE w:val="0"/>
              <w:autoSpaceDN w:val="0"/>
              <w:adjustRightInd w:val="0"/>
              <w:snapToGrid w:val="0"/>
              <w:spacing w:before="292" w:line="221" w:lineRule="auto"/>
              <w:ind w:left="12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序号</w:t>
            </w:r>
          </w:p>
        </w:tc>
        <w:tc>
          <w:tcPr>
            <w:tcW w:w="1758" w:type="dxa"/>
            <w:vAlign w:val="top"/>
          </w:tcPr>
          <w:p w14:paraId="05FD062E">
            <w:pPr>
              <w:kinsoku w:val="0"/>
              <w:autoSpaceDE w:val="0"/>
              <w:autoSpaceDN w:val="0"/>
              <w:adjustRightInd w:val="0"/>
              <w:snapToGrid w:val="0"/>
              <w:spacing w:before="51" w:line="208" w:lineRule="auto"/>
              <w:ind w:left="17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法律法规规定</w:t>
            </w:r>
          </w:p>
          <w:p w14:paraId="6D1586E6">
            <w:pPr>
              <w:kinsoku w:val="0"/>
              <w:autoSpaceDE w:val="0"/>
              <w:autoSpaceDN w:val="0"/>
              <w:adjustRightInd w:val="0"/>
              <w:snapToGrid w:val="0"/>
              <w:spacing w:line="202" w:lineRule="auto"/>
              <w:ind w:left="17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2"/>
                <w:kern w:val="0"/>
                <w:sz w:val="24"/>
                <w:szCs w:val="24"/>
                <w:lang w:val="en-US" w:eastAsia="en-US" w:bidi="ar-SA"/>
              </w:rPr>
              <w:t>的行政强制措</w:t>
            </w:r>
          </w:p>
          <w:p w14:paraId="33466641">
            <w:pPr>
              <w:kinsoku w:val="0"/>
              <w:autoSpaceDE w:val="0"/>
              <w:autoSpaceDN w:val="0"/>
              <w:adjustRightInd w:val="0"/>
              <w:snapToGrid w:val="0"/>
              <w:spacing w:line="168" w:lineRule="auto"/>
              <w:ind w:left="7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3"/>
                <w:kern w:val="0"/>
                <w:sz w:val="24"/>
                <w:szCs w:val="24"/>
                <w:lang w:val="en-US" w:eastAsia="en-US" w:bidi="ar-SA"/>
              </w:rPr>
              <w:t>施</w:t>
            </w:r>
          </w:p>
        </w:tc>
        <w:tc>
          <w:tcPr>
            <w:tcW w:w="3262" w:type="dxa"/>
            <w:vAlign w:val="top"/>
          </w:tcPr>
          <w:p w14:paraId="57EBCE6A">
            <w:pPr>
              <w:kinsoku w:val="0"/>
              <w:autoSpaceDE w:val="0"/>
              <w:autoSpaceDN w:val="0"/>
              <w:adjustRightInd w:val="0"/>
              <w:snapToGrid w:val="0"/>
              <w:spacing w:before="159" w:line="219" w:lineRule="auto"/>
              <w:ind w:left="115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法律依据</w:t>
            </w:r>
          </w:p>
          <w:p w14:paraId="3FCAC216">
            <w:pPr>
              <w:kinsoku w:val="0"/>
              <w:autoSpaceDE w:val="0"/>
              <w:autoSpaceDN w:val="0"/>
              <w:adjustRightInd w:val="0"/>
              <w:snapToGrid w:val="0"/>
              <w:spacing w:before="36" w:line="219" w:lineRule="auto"/>
              <w:ind w:left="56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2"/>
                <w:kern w:val="0"/>
                <w:sz w:val="24"/>
                <w:szCs w:val="24"/>
                <w:lang w:val="en-US" w:eastAsia="en-US" w:bidi="ar-SA"/>
              </w:rPr>
              <w:t>(细化到具体条款项)</w:t>
            </w:r>
          </w:p>
        </w:tc>
        <w:tc>
          <w:tcPr>
            <w:tcW w:w="2798" w:type="dxa"/>
            <w:vAlign w:val="top"/>
          </w:tcPr>
          <w:p w14:paraId="1F21570C">
            <w:pPr>
              <w:kinsoku w:val="0"/>
              <w:autoSpaceDE w:val="0"/>
              <w:autoSpaceDN w:val="0"/>
              <w:adjustRightInd w:val="0"/>
              <w:snapToGrid w:val="0"/>
              <w:spacing w:before="292" w:line="220" w:lineRule="auto"/>
              <w:ind w:left="45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不予行政强制情形</w:t>
            </w:r>
          </w:p>
        </w:tc>
        <w:tc>
          <w:tcPr>
            <w:tcW w:w="3081" w:type="dxa"/>
            <w:vAlign w:val="top"/>
          </w:tcPr>
          <w:p w14:paraId="5622E54B">
            <w:pPr>
              <w:kinsoku w:val="0"/>
              <w:autoSpaceDE w:val="0"/>
              <w:autoSpaceDN w:val="0"/>
              <w:adjustRightInd w:val="0"/>
              <w:snapToGrid w:val="0"/>
              <w:spacing w:before="159" w:line="219" w:lineRule="auto"/>
              <w:ind w:left="44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2"/>
                <w:kern w:val="0"/>
                <w:sz w:val="24"/>
                <w:szCs w:val="24"/>
                <w:lang w:val="en-US" w:eastAsia="en-US" w:bidi="ar-SA"/>
              </w:rPr>
              <w:t>不予行政强制的依据</w:t>
            </w:r>
          </w:p>
          <w:p w14:paraId="1D7364ED">
            <w:pPr>
              <w:kinsoku w:val="0"/>
              <w:autoSpaceDE w:val="0"/>
              <w:autoSpaceDN w:val="0"/>
              <w:adjustRightInd w:val="0"/>
              <w:snapToGrid w:val="0"/>
              <w:spacing w:before="16" w:line="219" w:lineRule="auto"/>
              <w:ind w:left="44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2"/>
                <w:kern w:val="0"/>
                <w:sz w:val="24"/>
                <w:szCs w:val="24"/>
                <w:lang w:val="en-US" w:eastAsia="en-US" w:bidi="ar-SA"/>
              </w:rPr>
              <w:t>(细化到具体条款项)</w:t>
            </w:r>
          </w:p>
        </w:tc>
        <w:tc>
          <w:tcPr>
            <w:tcW w:w="1758" w:type="dxa"/>
            <w:vAlign w:val="top"/>
          </w:tcPr>
          <w:p w14:paraId="26297A36">
            <w:pPr>
              <w:kinsoku w:val="0"/>
              <w:autoSpaceDE w:val="0"/>
              <w:autoSpaceDN w:val="0"/>
              <w:adjustRightInd w:val="0"/>
              <w:snapToGrid w:val="0"/>
              <w:spacing w:before="291" w:line="219" w:lineRule="auto"/>
              <w:ind w:left="18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配套监管措施</w:t>
            </w:r>
          </w:p>
        </w:tc>
        <w:tc>
          <w:tcPr>
            <w:tcW w:w="1429" w:type="dxa"/>
            <w:vAlign w:val="top"/>
          </w:tcPr>
          <w:p w14:paraId="5A6C0B76">
            <w:pPr>
              <w:kinsoku w:val="0"/>
              <w:autoSpaceDE w:val="0"/>
              <w:autoSpaceDN w:val="0"/>
              <w:adjustRightInd w:val="0"/>
              <w:snapToGrid w:val="0"/>
              <w:spacing w:before="292" w:line="221" w:lineRule="auto"/>
              <w:jc w:val="center"/>
              <w:textAlignment w:val="baseline"/>
              <w:rPr>
                <w:rFonts w:hint="eastAsia" w:ascii="宋体" w:hAnsi="宋体" w:eastAsia="宋体" w:cs="宋体"/>
                <w:b/>
                <w:bCs/>
                <w:snapToGrid w:val="0"/>
                <w:color w:val="000000"/>
                <w:spacing w:val="-6"/>
                <w:kern w:val="0"/>
                <w:sz w:val="24"/>
                <w:szCs w:val="24"/>
                <w:lang w:val="en-US" w:eastAsia="zh-CN" w:bidi="ar-SA"/>
              </w:rPr>
            </w:pPr>
            <w:r>
              <w:rPr>
                <w:rFonts w:hint="eastAsia" w:ascii="宋体" w:hAnsi="宋体" w:eastAsia="宋体" w:cs="宋体"/>
                <w:b/>
                <w:bCs/>
                <w:snapToGrid w:val="0"/>
                <w:color w:val="000000"/>
                <w:spacing w:val="-6"/>
                <w:kern w:val="0"/>
                <w:sz w:val="24"/>
                <w:szCs w:val="24"/>
                <w:lang w:val="en-US" w:eastAsia="zh-CN" w:bidi="ar-SA"/>
              </w:rPr>
              <w:t>裁量幅度</w:t>
            </w:r>
          </w:p>
          <w:p w14:paraId="56F265CA">
            <w:pPr>
              <w:kinsoku w:val="0"/>
              <w:autoSpaceDE w:val="0"/>
              <w:autoSpaceDN w:val="0"/>
              <w:adjustRightInd w:val="0"/>
              <w:snapToGrid w:val="0"/>
              <w:spacing w:before="292" w:line="221" w:lineRule="auto"/>
              <w:jc w:val="center"/>
              <w:textAlignment w:val="baseline"/>
              <w:rPr>
                <w:rFonts w:hint="eastAsia" w:ascii="宋体" w:hAnsi="宋体" w:eastAsia="宋体" w:cs="宋体"/>
                <w:snapToGrid w:val="0"/>
                <w:color w:val="000000"/>
                <w:kern w:val="0"/>
                <w:sz w:val="24"/>
                <w:szCs w:val="24"/>
                <w:lang w:val="en-US" w:eastAsia="zh-CN" w:bidi="ar-SA"/>
              </w:rPr>
            </w:pPr>
          </w:p>
        </w:tc>
      </w:tr>
      <w:tr w14:paraId="0A26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752" w:type="dxa"/>
            <w:vAlign w:val="center"/>
          </w:tcPr>
          <w:p w14:paraId="1FB2C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w:t>
            </w:r>
          </w:p>
        </w:tc>
        <w:tc>
          <w:tcPr>
            <w:tcW w:w="1758" w:type="dxa"/>
            <w:vAlign w:val="center"/>
          </w:tcPr>
          <w:p w14:paraId="6E77E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en-US" w:bidi="ar"/>
              </w:rPr>
            </w:pPr>
            <w:r>
              <w:rPr>
                <w:rFonts w:hint="eastAsia" w:ascii="仿宋" w:hAnsi="仿宋" w:eastAsia="仿宋" w:cs="仿宋"/>
                <w:b w:val="0"/>
                <w:bCs w:val="0"/>
                <w:kern w:val="0"/>
                <w:sz w:val="24"/>
                <w:szCs w:val="24"/>
                <w:lang w:val="en-US" w:eastAsia="zh-CN" w:bidi="ar-SA"/>
              </w:rPr>
              <w:t>对不符合保障安全生产的国家标准或者行业标准的设施、设备、器材以及违法生产、储存、使用、经营、运输的危险物品予以查封或者扣押，对违法生产、储存、使用、经营危险物品的作业场所予以查封的。</w:t>
            </w:r>
          </w:p>
        </w:tc>
        <w:tc>
          <w:tcPr>
            <w:tcW w:w="3262" w:type="dxa"/>
            <w:vAlign w:val="center"/>
          </w:tcPr>
          <w:p w14:paraId="0A1AB20F">
            <w:pPr>
              <w:kinsoku w:val="0"/>
              <w:autoSpaceDE w:val="0"/>
              <w:autoSpaceDN w:val="0"/>
              <w:adjustRightInd w:val="0"/>
              <w:snapToGrid w:val="0"/>
              <w:spacing w:before="36" w:line="219" w:lineRule="auto"/>
              <w:ind w:firstLine="240" w:firstLineChars="100"/>
              <w:jc w:val="both"/>
              <w:textAlignment w:val="baseline"/>
              <w:rPr>
                <w:rFonts w:ascii="宋体" w:hAnsi="宋体" w:eastAsia="宋体" w:cs="宋体"/>
                <w:b/>
                <w:bCs/>
                <w:snapToGrid w:val="0"/>
                <w:color w:val="000000"/>
                <w:spacing w:val="2"/>
                <w:kern w:val="0"/>
                <w:sz w:val="24"/>
                <w:szCs w:val="24"/>
                <w:lang w:val="en-US" w:eastAsia="en-US" w:bidi="ar-SA"/>
              </w:rPr>
            </w:pPr>
            <w:r>
              <w:rPr>
                <w:rFonts w:hint="eastAsia" w:ascii="仿宋" w:hAnsi="仿宋" w:eastAsia="仿宋" w:cs="仿宋"/>
                <w:b w:val="0"/>
                <w:bCs w:val="0"/>
                <w:kern w:val="0"/>
                <w:sz w:val="24"/>
                <w:szCs w:val="24"/>
                <w:lang w:val="en-US" w:eastAsia="zh-CN" w:bidi="ar-SA"/>
              </w:rPr>
              <w:t>《中华人民共和国安全生产法》第六十五条一款第四项：对有根据认为不符合保障安全生产的设施、设备、器材以及违法生产、储存、使用、经营、运输的危险物品予以查封或者扣押，对违法生产、储存、使用、经营危险物品的作业场所予以查封，并依法做出处理决定。</w:t>
            </w:r>
          </w:p>
        </w:tc>
        <w:tc>
          <w:tcPr>
            <w:tcW w:w="2798" w:type="dxa"/>
            <w:vAlign w:val="center"/>
          </w:tcPr>
          <w:p w14:paraId="696E5F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主动停止使用不符合保障安全生产的国家标准或者行业标准的设施、设备、器材的；</w:t>
            </w:r>
          </w:p>
          <w:p w14:paraId="67F1C5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违法行为轻微，主动销毁处置违法生产、储存、使用、经营、运输的危险物品的；</w:t>
            </w:r>
          </w:p>
          <w:p w14:paraId="76256A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主动关闭违法生产、储存、使用、经营危险物品的作业场所的；</w:t>
            </w:r>
          </w:p>
          <w:p w14:paraId="251821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ascii="宋体" w:hAnsi="宋体" w:eastAsia="宋体" w:cs="宋体"/>
                <w:b/>
                <w:bCs/>
                <w:snapToGrid w:val="0"/>
                <w:color w:val="000000"/>
                <w:spacing w:val="-4"/>
                <w:kern w:val="0"/>
                <w:sz w:val="24"/>
                <w:szCs w:val="24"/>
                <w:lang w:val="en-US" w:eastAsia="en-US" w:bidi="ar-SA"/>
              </w:rPr>
            </w:pPr>
            <w:r>
              <w:rPr>
                <w:rFonts w:hint="eastAsia" w:ascii="仿宋" w:hAnsi="仿宋" w:eastAsia="仿宋" w:cs="仿宋"/>
                <w:b w:val="0"/>
                <w:bCs w:val="0"/>
                <w:color w:val="auto"/>
                <w:kern w:val="0"/>
                <w:sz w:val="24"/>
                <w:szCs w:val="24"/>
                <w:lang w:val="en-US" w:eastAsia="zh-CN" w:bidi="ar-SA"/>
              </w:rPr>
              <w:t>直接关系居民生活供水、供电、供热、供燃气等，不予查封。</w:t>
            </w:r>
          </w:p>
        </w:tc>
        <w:tc>
          <w:tcPr>
            <w:tcW w:w="3081" w:type="dxa"/>
            <w:vAlign w:val="center"/>
          </w:tcPr>
          <w:p w14:paraId="54058A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《中华人民共和国行政强制法》第十六条第二款：违法行为情节显著轻微或者没有明显社会危害的，可以不采取行政强制措施。</w:t>
            </w:r>
          </w:p>
          <w:p w14:paraId="5054C6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优化营商环境条例》第五十九条第一款：行政执法中应当推广运用说服教育、劝导示范、行政指导等非强制手段，依法慎重实施行政强制。采用非强制手段能够达到行政管理目的的，不得实施行政强制；违法行为情节轻微或者社会危害较小的，可以不实施行政强制。</w:t>
            </w:r>
          </w:p>
          <w:p w14:paraId="6E9AF27D">
            <w:pPr>
              <w:kinsoku w:val="0"/>
              <w:autoSpaceDE w:val="0"/>
              <w:autoSpaceDN w:val="0"/>
              <w:adjustRightInd w:val="0"/>
              <w:snapToGrid w:val="0"/>
              <w:spacing w:before="16" w:line="219" w:lineRule="auto"/>
              <w:jc w:val="both"/>
              <w:textAlignment w:val="baseline"/>
              <w:rPr>
                <w:rFonts w:ascii="宋体" w:hAnsi="宋体" w:eastAsia="宋体" w:cs="宋体"/>
                <w:b/>
                <w:bCs/>
                <w:snapToGrid w:val="0"/>
                <w:color w:val="000000"/>
                <w:spacing w:val="2"/>
                <w:kern w:val="0"/>
                <w:sz w:val="24"/>
                <w:szCs w:val="24"/>
                <w:lang w:val="en-US" w:eastAsia="en-US" w:bidi="ar-SA"/>
              </w:rPr>
            </w:pPr>
            <w:r>
              <w:rPr>
                <w:rFonts w:hint="eastAsia" w:ascii="仿宋" w:hAnsi="仿宋" w:eastAsia="仿宋" w:cs="仿宋"/>
                <w:b w:val="0"/>
                <w:bCs w:val="0"/>
                <w:color w:val="auto"/>
                <w:kern w:val="0"/>
                <w:sz w:val="24"/>
                <w:szCs w:val="24"/>
                <w:lang w:val="en-US" w:eastAsia="zh-CN" w:bidi="ar-SA"/>
              </w:rPr>
              <w:t>《中华人民共和国行政强制法》第四十三条第二款行政机关不得对居民 生活采取停止供 水、供电、供热、供燃气等方式迫使当事人履行相关行政决定。</w:t>
            </w:r>
          </w:p>
        </w:tc>
        <w:tc>
          <w:tcPr>
            <w:tcW w:w="1758" w:type="dxa"/>
            <w:vAlign w:val="center"/>
          </w:tcPr>
          <w:p w14:paraId="3B6D1B6E">
            <w:pPr>
              <w:kinsoku w:val="0"/>
              <w:autoSpaceDE w:val="0"/>
              <w:autoSpaceDN w:val="0"/>
              <w:adjustRightInd w:val="0"/>
              <w:snapToGrid w:val="0"/>
              <w:spacing w:before="291" w:line="219" w:lineRule="auto"/>
              <w:ind w:left="182"/>
              <w:jc w:val="both"/>
              <w:textAlignment w:val="baseline"/>
              <w:rPr>
                <w:rFonts w:ascii="宋体" w:hAnsi="宋体" w:eastAsia="宋体" w:cs="宋体"/>
                <w:b/>
                <w:bCs/>
                <w:snapToGrid w:val="0"/>
                <w:color w:val="000000" w:themeColor="text1"/>
                <w:spacing w:val="-4"/>
                <w:kern w:val="0"/>
                <w:sz w:val="24"/>
                <w:szCs w:val="24"/>
                <w:lang w:val="en-US" w:eastAsia="en-US"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429" w:type="dxa"/>
            <w:vAlign w:val="center"/>
          </w:tcPr>
          <w:p w14:paraId="65E8AA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主动停止使用不符合保障安全生产的国家标准或者行业标准的设施、设备、器材的；违法行为轻微，主动销毁处置违法生产、储存、使用、经营、运输的危险物品的，可以不予查封</w:t>
            </w:r>
          </w:p>
          <w:p w14:paraId="27D02E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主动关闭违法生产、储存、使用、经营危险物品的作业场所的，可以不予处罚；</w:t>
            </w:r>
          </w:p>
          <w:p w14:paraId="42637A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ascii="宋体" w:hAnsi="宋体" w:eastAsia="宋体" w:cs="宋体"/>
                <w:b/>
                <w:bCs/>
                <w:snapToGrid w:val="0"/>
                <w:color w:val="000000"/>
                <w:spacing w:val="-6"/>
                <w:kern w:val="0"/>
                <w:sz w:val="24"/>
                <w:szCs w:val="24"/>
                <w:lang w:val="en-US" w:eastAsia="en-US" w:bidi="ar-SA"/>
              </w:rPr>
            </w:pPr>
            <w:r>
              <w:rPr>
                <w:rFonts w:hint="eastAsia" w:ascii="仿宋" w:hAnsi="仿宋" w:eastAsia="仿宋" w:cs="仿宋"/>
                <w:b w:val="0"/>
                <w:bCs w:val="0"/>
                <w:color w:val="auto"/>
                <w:kern w:val="0"/>
                <w:sz w:val="24"/>
                <w:szCs w:val="24"/>
                <w:lang w:val="en-US" w:eastAsia="zh-CN" w:bidi="ar-SA"/>
              </w:rPr>
              <w:t>直接关系居民生活供水、供电、供热、供燃气等，不予查封。</w:t>
            </w:r>
          </w:p>
        </w:tc>
      </w:tr>
      <w:tr w14:paraId="214E7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752" w:type="dxa"/>
            <w:vAlign w:val="center"/>
          </w:tcPr>
          <w:p w14:paraId="295BA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w:t>
            </w:r>
          </w:p>
        </w:tc>
        <w:tc>
          <w:tcPr>
            <w:tcW w:w="1758" w:type="dxa"/>
            <w:vAlign w:val="center"/>
          </w:tcPr>
          <w:p w14:paraId="33993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对存在重大事故隐患的生产经营单位拒不执行停产停业、停止施工、停止使用相关设施或设备决定，并有发生生产安全事故的现实危险的，经批准采取停止供电、停止供应民用爆炸物品等措施，强制生产经营单位履行决定。</w:t>
            </w:r>
          </w:p>
        </w:tc>
        <w:tc>
          <w:tcPr>
            <w:tcW w:w="3262" w:type="dxa"/>
            <w:vAlign w:val="center"/>
          </w:tcPr>
          <w:p w14:paraId="4B357FF3">
            <w:pPr>
              <w:kinsoku w:val="0"/>
              <w:autoSpaceDE w:val="0"/>
              <w:autoSpaceDN w:val="0"/>
              <w:adjustRightInd w:val="0"/>
              <w:snapToGrid w:val="0"/>
              <w:spacing w:before="36" w:line="219" w:lineRule="auto"/>
              <w:ind w:firstLine="240" w:firstLineChars="100"/>
              <w:jc w:val="both"/>
              <w:textAlignment w:val="baseline"/>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中华人民共和国安全生产法》第七十条第一款：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2798" w:type="dxa"/>
            <w:vAlign w:val="center"/>
          </w:tcPr>
          <w:p w14:paraId="4C0440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生产经营单位存在重大事故隐患，涉及居民生活供水、供电、 供热、天然气等，未执行应急管理 部门依法作出的停产停业、停止施工、停止使用 相关设施或者设备的决定，不采 取通知有关单位停止供电措施。</w:t>
            </w:r>
          </w:p>
        </w:tc>
        <w:tc>
          <w:tcPr>
            <w:tcW w:w="3081" w:type="dxa"/>
            <w:vAlign w:val="center"/>
          </w:tcPr>
          <w:p w14:paraId="7AC289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《中华人民共和国行政强制法》第十六条第二款：违法行为情节显著轻微或者没有明显社会危害的，可以不采取行政强制措施。</w:t>
            </w:r>
          </w:p>
          <w:p w14:paraId="41695E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优化营商环境条例》第五十九条第一款：行政执法中应当推广运用说服教育、劝导示范、行政指导等非强制手段，依法慎重实施行政强制。采用非强制手段能够达到行政管理目的的，不得实施行政强制；违法行为情节轻微或者社会危害较小的，可以不实施行政强制。</w:t>
            </w:r>
          </w:p>
          <w:p w14:paraId="5DB7CBB5">
            <w:pPr>
              <w:kinsoku w:val="0"/>
              <w:autoSpaceDE w:val="0"/>
              <w:autoSpaceDN w:val="0"/>
              <w:adjustRightInd w:val="0"/>
              <w:snapToGrid w:val="0"/>
              <w:spacing w:before="16" w:line="219" w:lineRule="auto"/>
              <w:jc w:val="both"/>
              <w:textAlignment w:val="baseline"/>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《中华人民共和国行政强制法》第四十三条第二款行政机关不得对居民生活采取停止供水、供电、供热、供燃气等方式迫使当事人履行相关行政决定。</w:t>
            </w:r>
          </w:p>
        </w:tc>
        <w:tc>
          <w:tcPr>
            <w:tcW w:w="1758" w:type="dxa"/>
            <w:vAlign w:val="center"/>
          </w:tcPr>
          <w:p w14:paraId="28E8CAFA">
            <w:pPr>
              <w:kinsoku w:val="0"/>
              <w:autoSpaceDE w:val="0"/>
              <w:autoSpaceDN w:val="0"/>
              <w:adjustRightInd w:val="0"/>
              <w:snapToGrid w:val="0"/>
              <w:spacing w:before="291" w:line="219" w:lineRule="auto"/>
              <w:ind w:left="182"/>
              <w:jc w:val="both"/>
              <w:textAlignment w:val="baseline"/>
              <w:rPr>
                <w:rFonts w:ascii="宋体" w:hAnsi="宋体" w:eastAsia="宋体" w:cs="宋体"/>
                <w:b/>
                <w:bCs/>
                <w:snapToGrid w:val="0"/>
                <w:color w:val="000000" w:themeColor="text1"/>
                <w:spacing w:val="-4"/>
                <w:kern w:val="0"/>
                <w:sz w:val="24"/>
                <w:szCs w:val="24"/>
                <w:lang w:val="en-US" w:eastAsia="en-US"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429" w:type="dxa"/>
            <w:vAlign w:val="center"/>
          </w:tcPr>
          <w:p w14:paraId="0169DDF6">
            <w:pPr>
              <w:kinsoku w:val="0"/>
              <w:autoSpaceDE w:val="0"/>
              <w:autoSpaceDN w:val="0"/>
              <w:adjustRightInd w:val="0"/>
              <w:snapToGrid w:val="0"/>
              <w:spacing w:before="292" w:line="221" w:lineRule="auto"/>
              <w:jc w:val="both"/>
              <w:textAlignment w:val="baseline"/>
              <w:rPr>
                <w:rFonts w:ascii="宋体" w:hAnsi="宋体" w:eastAsia="宋体" w:cs="宋体"/>
                <w:b/>
                <w:bCs/>
                <w:snapToGrid w:val="0"/>
                <w:color w:val="000000"/>
                <w:spacing w:val="-6"/>
                <w:kern w:val="0"/>
                <w:sz w:val="24"/>
                <w:szCs w:val="24"/>
                <w:lang w:val="en-US" w:eastAsia="en-US" w:bidi="ar-SA"/>
              </w:rPr>
            </w:pPr>
            <w:r>
              <w:rPr>
                <w:rFonts w:hint="eastAsia" w:ascii="仿宋" w:hAnsi="仿宋" w:eastAsia="仿宋" w:cs="仿宋"/>
                <w:b w:val="0"/>
                <w:bCs w:val="0"/>
                <w:color w:val="auto"/>
                <w:kern w:val="0"/>
                <w:sz w:val="24"/>
                <w:szCs w:val="24"/>
                <w:lang w:val="en-US" w:eastAsia="zh-CN" w:bidi="ar-SA"/>
              </w:rPr>
              <w:t>不予查封</w:t>
            </w:r>
          </w:p>
        </w:tc>
      </w:tr>
    </w:tbl>
    <w:p w14:paraId="1CCC0684">
      <w:pPr>
        <w:keepNext w:val="0"/>
        <w:keepLines w:val="0"/>
        <w:pageBreakBefore w:val="0"/>
        <w:kinsoku/>
        <w:wordWrap/>
        <w:overflowPunct/>
        <w:topLinePunct w:val="0"/>
        <w:autoSpaceDE/>
        <w:autoSpaceDN/>
        <w:bidi w:val="0"/>
        <w:adjustRightInd/>
        <w:spacing w:beforeAutospacing="0" w:afterAutospacing="0" w:line="560" w:lineRule="exact"/>
      </w:pPr>
    </w:p>
    <w:p w14:paraId="3F0AD135">
      <w:pPr>
        <w:keepNext w:val="0"/>
        <w:keepLines w:val="0"/>
        <w:pageBreakBefore w:val="0"/>
        <w:kinsoku/>
        <w:wordWrap/>
        <w:overflowPunct/>
        <w:topLinePunct w:val="0"/>
        <w:autoSpaceDE/>
        <w:autoSpaceDN/>
        <w:bidi w:val="0"/>
        <w:adjustRightInd/>
        <w:spacing w:beforeAutospacing="0" w:afterAutospacing="0" w:line="560" w:lineRule="exact"/>
      </w:pPr>
    </w:p>
    <w:sectPr>
      <w:footerReference r:id="rId3" w:type="default"/>
      <w:type w:val="continuous"/>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宋体-GB13000">
    <w:altName w:val="宋体"/>
    <w:panose1 w:val="02000500000000000000"/>
    <w:charset w:val="86"/>
    <w:family w:val="auto"/>
    <w:pitch w:val="default"/>
    <w:sig w:usb0="00000000" w:usb1="00000000" w:usb2="00000016" w:usb3="00000000" w:csb0="0004000F"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62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A4BB3">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7A4BB3">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MjE0NTEzNDI1ZjlhZGRhY2UzYzI5M2MxZGE5OGUifQ=="/>
  </w:docVars>
  <w:rsids>
    <w:rsidRoot w:val="00000000"/>
    <w:rsid w:val="111202EC"/>
    <w:rsid w:val="14FC5027"/>
    <w:rsid w:val="1A583E64"/>
    <w:rsid w:val="21EA4E73"/>
    <w:rsid w:val="28250EB1"/>
    <w:rsid w:val="38AF0C87"/>
    <w:rsid w:val="495A4B31"/>
    <w:rsid w:val="4B77780C"/>
    <w:rsid w:val="4BB539FB"/>
    <w:rsid w:val="4CD40D7B"/>
    <w:rsid w:val="4FFBB3D8"/>
    <w:rsid w:val="52C65B9C"/>
    <w:rsid w:val="57F07D96"/>
    <w:rsid w:val="59EE57D1"/>
    <w:rsid w:val="59FFC5B3"/>
    <w:rsid w:val="5B2654CB"/>
    <w:rsid w:val="64480A16"/>
    <w:rsid w:val="674D58B6"/>
    <w:rsid w:val="679C2DC3"/>
    <w:rsid w:val="68393BD4"/>
    <w:rsid w:val="7517E810"/>
    <w:rsid w:val="75357B49"/>
    <w:rsid w:val="77B71542"/>
    <w:rsid w:val="7CFDBD78"/>
    <w:rsid w:val="7ED7BD58"/>
    <w:rsid w:val="E9F64617"/>
    <w:rsid w:val="F3FC6F49"/>
    <w:rsid w:val="F97D31B9"/>
    <w:rsid w:val="FB8F0761"/>
    <w:rsid w:val="FD7AE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Body Text First Indent"/>
    <w:basedOn w:val="3"/>
    <w:next w:val="1"/>
    <w:qFormat/>
    <w:uiPriority w:val="0"/>
    <w:pPr>
      <w:ind w:firstLine="420" w:firstLineChars="1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font11"/>
    <w:basedOn w:val="9"/>
    <w:qFormat/>
    <w:uiPriority w:val="0"/>
    <w:rPr>
      <w:rFonts w:hint="eastAsia" w:ascii="宋体" w:hAnsi="宋体" w:eastAsia="宋体" w:cs="宋体"/>
      <w:b/>
      <w:bCs/>
      <w:color w:val="000000"/>
      <w:sz w:val="24"/>
      <w:szCs w:val="24"/>
      <w:u w:val="none"/>
    </w:rPr>
  </w:style>
  <w:style w:type="character" w:customStyle="1" w:styleId="12">
    <w:name w:val="font21"/>
    <w:basedOn w:val="9"/>
    <w:qFormat/>
    <w:uiPriority w:val="0"/>
    <w:rPr>
      <w:rFonts w:hint="eastAsia" w:ascii="宋体" w:hAnsi="宋体" w:eastAsia="宋体" w:cs="宋体"/>
      <w:color w:val="000000"/>
      <w:sz w:val="24"/>
      <w:szCs w:val="24"/>
      <w:u w:val="none"/>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355</Words>
  <Characters>355</Characters>
  <Lines>0</Lines>
  <Paragraphs>0</Paragraphs>
  <TotalTime>1</TotalTime>
  <ScaleCrop>false</ScaleCrop>
  <LinksUpToDate>false</LinksUpToDate>
  <CharactersWithSpaces>370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611</cp:lastModifiedBy>
  <cp:lastPrinted>2025-06-12T06:55:00Z</cp:lastPrinted>
  <dcterms:modified xsi:type="dcterms:W3CDTF">2025-06-17T09:09:01Z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C38F2F8D021342A9B1D18FAFFB87AB98_13</vt:lpwstr>
  </property>
  <property fmtid="{D5CDD505-2E9C-101B-9397-08002B2CF9AE}" pid="4" name="KSOTemplateDocerSaveRecord">
    <vt:lpwstr>eyJoZGlkIjoiZGVlNzljMGI2NjM2YzAwMzZkNTczYWIxMjA3NjU3MzAifQ==</vt:lpwstr>
  </property>
</Properties>
</file>