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9547"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2044"/>
        <w:gridCol w:w="1404"/>
        <w:gridCol w:w="1320"/>
        <w:gridCol w:w="1596"/>
        <w:gridCol w:w="4553"/>
        <w:gridCol w:w="1980"/>
        <w:gridCol w:w="405"/>
        <w:gridCol w:w="788"/>
        <w:gridCol w:w="772"/>
        <w:gridCol w:w="421"/>
        <w:gridCol w:w="1193"/>
        <w:gridCol w:w="1193"/>
        <w:gridCol w:w="1193"/>
      </w:tblGrid>
      <w:tr w14:paraId="33CA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3582" w:type="dxa"/>
            <w:gridSpan w:val="7"/>
            <w:tcBorders>
              <w:top w:val="nil"/>
              <w:left w:val="nil"/>
              <w:bottom w:val="nil"/>
              <w:right w:val="nil"/>
            </w:tcBorders>
            <w:shd w:val="clear" w:color="auto" w:fill="auto"/>
            <w:vAlign w:val="center"/>
          </w:tcPr>
          <w:p w14:paraId="69A31D62">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附件：1</w:t>
            </w:r>
          </w:p>
          <w:p w14:paraId="22B7A1B8">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jc w:val="center"/>
              <w:textAlignment w:val="center"/>
              <w:rPr>
                <w:rFonts w:hint="eastAsia" w:ascii="宋体" w:hAnsi="宋体" w:eastAsia="宋体" w:cs="宋体"/>
                <w:b/>
                <w:bCs/>
                <w:i w:val="0"/>
                <w:iCs w:val="0"/>
                <w:color w:val="000000"/>
                <w:kern w:val="0"/>
                <w:sz w:val="40"/>
                <w:szCs w:val="40"/>
                <w:u w:val="none"/>
                <w:lang w:val="en-US" w:eastAsia="zh-CN" w:bidi="ar"/>
              </w:rPr>
            </w:pPr>
            <w:bookmarkStart w:id="1" w:name="_GoBack"/>
            <w:r>
              <w:rPr>
                <w:rFonts w:hint="eastAsia" w:ascii="宋体" w:hAnsi="宋体" w:eastAsia="宋体" w:cs="宋体"/>
                <w:b/>
                <w:bCs/>
                <w:i w:val="0"/>
                <w:iCs w:val="0"/>
                <w:color w:val="000000"/>
                <w:kern w:val="0"/>
                <w:sz w:val="40"/>
                <w:szCs w:val="40"/>
                <w:u w:val="none"/>
                <w:lang w:val="en-US" w:eastAsia="zh-CN" w:bidi="ar"/>
              </w:rPr>
              <w:t>轻微违法行为免予 从轻 减轻行政处罚清单</w:t>
            </w:r>
          </w:p>
          <w:bookmarkEnd w:id="1"/>
          <w:p w14:paraId="44219C63">
            <w:pPr>
              <w:pStyle w:val="2"/>
              <w:keepNext w:val="0"/>
              <w:keepLines w:val="0"/>
              <w:pageBreakBefore w:val="0"/>
              <w:kinsoku/>
              <w:wordWrap/>
              <w:overflowPunct/>
              <w:topLinePunct w:val="0"/>
              <w:autoSpaceDE/>
              <w:autoSpaceDN/>
              <w:bidi w:val="0"/>
              <w:adjustRightInd/>
              <w:spacing w:before="0" w:beforeAutospacing="0" w:after="0" w:afterAutospacing="0" w:line="560" w:lineRule="exact"/>
              <w:rPr>
                <w:rFonts w:hint="eastAsia"/>
              </w:rPr>
            </w:pPr>
            <w:r>
              <w:rPr>
                <w:rFonts w:hint="eastAsia" w:ascii="宋体" w:hAnsi="宋体" w:eastAsia="宋体" w:cs="宋体"/>
                <w:b/>
                <w:bCs/>
                <w:i w:val="0"/>
                <w:iCs w:val="0"/>
                <w:color w:val="000000"/>
                <w:kern w:val="0"/>
                <w:sz w:val="40"/>
                <w:szCs w:val="40"/>
                <w:u w:val="none"/>
                <w:lang w:val="en-US" w:eastAsia="zh-CN" w:bidi="ar"/>
              </w:rPr>
              <w:t>单位：</w:t>
            </w:r>
            <w:r>
              <w:rPr>
                <w:rFonts w:hint="eastAsia" w:cs="宋体"/>
                <w:b/>
                <w:bCs/>
                <w:i w:val="0"/>
                <w:iCs w:val="0"/>
                <w:color w:val="000000"/>
                <w:kern w:val="0"/>
                <w:sz w:val="40"/>
                <w:szCs w:val="40"/>
                <w:u w:val="none"/>
                <w:lang w:val="en-US" w:eastAsia="zh-CN" w:bidi="ar"/>
              </w:rPr>
              <w:t>呼和浩特市应急管理局</w:t>
            </w:r>
          </w:p>
        </w:tc>
        <w:tc>
          <w:tcPr>
            <w:tcW w:w="1193" w:type="dxa"/>
            <w:gridSpan w:val="2"/>
            <w:tcBorders>
              <w:top w:val="nil"/>
              <w:left w:val="nil"/>
              <w:bottom w:val="nil"/>
              <w:right w:val="nil"/>
            </w:tcBorders>
            <w:shd w:val="clear" w:color="auto" w:fill="auto"/>
            <w:vAlign w:val="center"/>
          </w:tcPr>
          <w:p w14:paraId="43A2DD74">
            <w:pPr>
              <w:pStyle w:val="2"/>
              <w:keepNext w:val="0"/>
              <w:keepLines w:val="0"/>
              <w:pageBreakBefore w:val="0"/>
              <w:kinsoku/>
              <w:wordWrap/>
              <w:overflowPunct/>
              <w:topLinePunct w:val="0"/>
              <w:autoSpaceDE/>
              <w:autoSpaceDN/>
              <w:bidi w:val="0"/>
              <w:adjustRightInd/>
              <w:spacing w:before="0" w:beforeAutospacing="0" w:after="0" w:afterAutospacing="0" w:line="560" w:lineRule="exact"/>
              <w:rPr>
                <w:rFonts w:hint="eastAsia" w:ascii="宋体" w:hAnsi="宋体" w:eastAsia="宋体" w:cs="宋体"/>
                <w:b/>
                <w:bCs/>
                <w:i w:val="0"/>
                <w:iCs w:val="0"/>
                <w:color w:val="000000"/>
                <w:kern w:val="0"/>
                <w:sz w:val="40"/>
                <w:szCs w:val="40"/>
                <w:u w:val="none"/>
                <w:lang w:val="en-US" w:eastAsia="zh-CN" w:bidi="ar"/>
              </w:rPr>
            </w:pPr>
          </w:p>
        </w:tc>
        <w:tc>
          <w:tcPr>
            <w:tcW w:w="1193" w:type="dxa"/>
            <w:gridSpan w:val="2"/>
            <w:tcBorders>
              <w:top w:val="nil"/>
              <w:left w:val="nil"/>
              <w:bottom w:val="nil"/>
              <w:right w:val="nil"/>
            </w:tcBorders>
            <w:shd w:val="clear" w:color="auto" w:fill="auto"/>
            <w:vAlign w:val="center"/>
          </w:tcPr>
          <w:p w14:paraId="629E2F91">
            <w:pPr>
              <w:pStyle w:val="2"/>
              <w:keepNext w:val="0"/>
              <w:keepLines w:val="0"/>
              <w:pageBreakBefore w:val="0"/>
              <w:kinsoku/>
              <w:wordWrap/>
              <w:overflowPunct/>
              <w:topLinePunct w:val="0"/>
              <w:autoSpaceDE/>
              <w:autoSpaceDN/>
              <w:bidi w:val="0"/>
              <w:adjustRightInd/>
              <w:spacing w:before="0" w:beforeAutospacing="0" w:after="0" w:afterAutospacing="0" w:line="560" w:lineRule="exact"/>
              <w:rPr>
                <w:rFonts w:hint="eastAsia" w:ascii="宋体" w:hAnsi="宋体" w:eastAsia="宋体" w:cs="宋体"/>
                <w:b/>
                <w:bCs/>
                <w:i w:val="0"/>
                <w:iCs w:val="0"/>
                <w:color w:val="000000"/>
                <w:kern w:val="0"/>
                <w:sz w:val="40"/>
                <w:szCs w:val="40"/>
                <w:u w:val="none"/>
                <w:lang w:val="en-US" w:eastAsia="zh-CN" w:bidi="ar"/>
              </w:rPr>
            </w:pPr>
          </w:p>
        </w:tc>
        <w:tc>
          <w:tcPr>
            <w:tcW w:w="1193" w:type="dxa"/>
            <w:tcBorders>
              <w:top w:val="nil"/>
              <w:left w:val="nil"/>
              <w:bottom w:val="nil"/>
              <w:right w:val="nil"/>
            </w:tcBorders>
            <w:shd w:val="clear" w:color="auto" w:fill="auto"/>
            <w:vAlign w:val="center"/>
          </w:tcPr>
          <w:p w14:paraId="6670B0C7">
            <w:pPr>
              <w:pStyle w:val="2"/>
              <w:keepNext w:val="0"/>
              <w:keepLines w:val="0"/>
              <w:pageBreakBefore w:val="0"/>
              <w:kinsoku/>
              <w:wordWrap/>
              <w:overflowPunct/>
              <w:topLinePunct w:val="0"/>
              <w:autoSpaceDE/>
              <w:autoSpaceDN/>
              <w:bidi w:val="0"/>
              <w:adjustRightInd/>
              <w:spacing w:before="0" w:beforeAutospacing="0" w:after="0" w:afterAutospacing="0" w:line="560" w:lineRule="exact"/>
              <w:rPr>
                <w:rFonts w:hint="eastAsia" w:ascii="宋体" w:hAnsi="宋体" w:eastAsia="宋体" w:cs="宋体"/>
                <w:b/>
                <w:bCs/>
                <w:i w:val="0"/>
                <w:iCs w:val="0"/>
                <w:color w:val="000000"/>
                <w:kern w:val="0"/>
                <w:sz w:val="40"/>
                <w:szCs w:val="40"/>
                <w:u w:val="none"/>
                <w:lang w:val="en-US" w:eastAsia="zh-CN" w:bidi="ar"/>
              </w:rPr>
            </w:pPr>
          </w:p>
        </w:tc>
        <w:tc>
          <w:tcPr>
            <w:tcW w:w="1193" w:type="dxa"/>
            <w:tcBorders>
              <w:top w:val="nil"/>
              <w:left w:val="nil"/>
              <w:bottom w:val="nil"/>
              <w:right w:val="nil"/>
            </w:tcBorders>
            <w:shd w:val="clear" w:color="auto" w:fill="auto"/>
            <w:vAlign w:val="center"/>
          </w:tcPr>
          <w:p w14:paraId="70FA976E">
            <w:pPr>
              <w:pStyle w:val="2"/>
              <w:keepNext w:val="0"/>
              <w:keepLines w:val="0"/>
              <w:pageBreakBefore w:val="0"/>
              <w:kinsoku/>
              <w:wordWrap/>
              <w:overflowPunct/>
              <w:topLinePunct w:val="0"/>
              <w:autoSpaceDE/>
              <w:autoSpaceDN/>
              <w:bidi w:val="0"/>
              <w:adjustRightInd/>
              <w:spacing w:before="0" w:beforeAutospacing="0" w:after="0" w:afterAutospacing="0" w:line="560" w:lineRule="exact"/>
              <w:rPr>
                <w:rFonts w:hint="eastAsia" w:ascii="宋体" w:hAnsi="宋体" w:eastAsia="宋体" w:cs="宋体"/>
                <w:b/>
                <w:bCs/>
                <w:i w:val="0"/>
                <w:iCs w:val="0"/>
                <w:color w:val="000000"/>
                <w:kern w:val="0"/>
                <w:sz w:val="40"/>
                <w:szCs w:val="40"/>
                <w:u w:val="none"/>
                <w:lang w:val="en-US" w:eastAsia="zh-CN" w:bidi="ar"/>
              </w:rPr>
            </w:pPr>
          </w:p>
        </w:tc>
        <w:tc>
          <w:tcPr>
            <w:tcW w:w="1193" w:type="dxa"/>
            <w:tcBorders>
              <w:top w:val="nil"/>
              <w:left w:val="nil"/>
              <w:bottom w:val="nil"/>
              <w:right w:val="nil"/>
            </w:tcBorders>
            <w:shd w:val="clear" w:color="auto" w:fill="auto"/>
            <w:vAlign w:val="center"/>
          </w:tcPr>
          <w:p w14:paraId="36C583C7">
            <w:pPr>
              <w:pStyle w:val="2"/>
              <w:keepNext w:val="0"/>
              <w:keepLines w:val="0"/>
              <w:pageBreakBefore w:val="0"/>
              <w:kinsoku/>
              <w:wordWrap/>
              <w:overflowPunct/>
              <w:topLinePunct w:val="0"/>
              <w:autoSpaceDE/>
              <w:autoSpaceDN/>
              <w:bidi w:val="0"/>
              <w:adjustRightInd/>
              <w:spacing w:before="0" w:beforeAutospacing="0" w:after="0" w:afterAutospacing="0" w:line="560" w:lineRule="exact"/>
              <w:rPr>
                <w:rFonts w:hint="eastAsia" w:ascii="宋体" w:hAnsi="宋体" w:eastAsia="宋体" w:cs="宋体"/>
                <w:b/>
                <w:bCs/>
                <w:i w:val="0"/>
                <w:iCs w:val="0"/>
                <w:color w:val="000000"/>
                <w:kern w:val="0"/>
                <w:sz w:val="40"/>
                <w:szCs w:val="40"/>
                <w:u w:val="none"/>
                <w:lang w:val="en-US" w:eastAsia="zh-CN" w:bidi="ar"/>
              </w:rPr>
            </w:pPr>
          </w:p>
        </w:tc>
      </w:tr>
      <w:tr w14:paraId="29CF2A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512"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869467D">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4561536">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处罚事项</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EE1C6BD">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不予处罚</w:t>
            </w:r>
          </w:p>
          <w:p w14:paraId="681048E5">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的情形</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148B864">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从轻处罚</w:t>
            </w:r>
          </w:p>
          <w:p w14:paraId="1C6F2073">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的情形</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F173A8C">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减轻处罚</w:t>
            </w:r>
          </w:p>
          <w:p w14:paraId="43377E15">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的情形</w:t>
            </w: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FEB4D7D">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CESI宋体-GB13000" w:hAnsi="CESI宋体-GB13000" w:eastAsia="CESI宋体-GB13000" w:cs="CESI宋体-GB13000"/>
                <w:b/>
                <w:bCs/>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不予处罚、减轻处罚的依据</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537D291D">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FF"/>
                <w:kern w:val="0"/>
                <w:sz w:val="24"/>
                <w:szCs w:val="24"/>
                <w:u w:val="none"/>
                <w:lang w:val="en-US" w:eastAsia="zh-CN" w:bidi="ar"/>
              </w:rPr>
              <w:t>配套监管措施</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23600ACB">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承办部门</w:t>
            </w:r>
          </w:p>
        </w:tc>
      </w:tr>
      <w:tr w14:paraId="4839F8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5760"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6FC4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C603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生产经营单位未按照规定对从业人员、被派遣劳动者、实习学生进行安全生产教育和培训的。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D685C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生产经营单位有证据证明对从业人员、被派遣劳动者、实习学生进行了安全生产教育和培训，但形式或内容不完全符合规定，属于初次违法并及时改正，没有造成危害后果的。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3C46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ECB8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50CF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FEE90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（三）未按照规定对从业人员、被派遣劳动者、实习学生进行安全生产教育和培训，或者未按照规定如实告知有关的安全生产事项的。</w:t>
            </w:r>
          </w:p>
          <w:p w14:paraId="36206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《中华人民共和国行政处罚法》第三十三条第一款：违法行为轻微并及时改正，没有造成危害后果的，不予行政处罚。初次违法且危害后果轻微并及时改正的，可以不予行政处罚。（下同，略）</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737F4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73B17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1083B0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4957"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61719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9CC0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生产经营单位未如实记录安全生产教育和培训情况的。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2CD8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生产经营单位有证据证明已按规定进行了安全生产教育和培训，但未如实记录（故意对记录造假的除外），属于初次违法并及时改正，没有造成危害后果的。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C86A3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E7C1A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B54B2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C3EEA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（四）未如实记录安全生产教育和培训情况的。</w:t>
            </w:r>
          </w:p>
          <w:p w14:paraId="49E9D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E412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F6767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B3CFD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304"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35E2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FC09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生产经营单位对从业人员进行安全培训期间未支付培训人员工资和承担安全培训费用的。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2CA4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B0BC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A872C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059F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《生产经营单位安全培训规定》第二十九条：生产经营单位有下列行为之一的，由安全生产监管监察部门责令其限期改正，可以处1万元以上3万元以下的罚款：</w:t>
            </w:r>
          </w:p>
          <w:p w14:paraId="1DD701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（二）从业人员进行安全培训期间未支付工资并承担安全培训费用的。</w:t>
            </w:r>
          </w:p>
          <w:p w14:paraId="0C8768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200F7E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7C75BF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087D14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3431"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39A8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4</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33D9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t>安全培训机构培训档案管理不规范的。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149F9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生产经营单位已建立培训档案但档案管理不规范，属于初次违法并及时改正，没有造成危害后果的。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ED79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BB6CE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4BBBE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t>《安全生产培训管理办法》第三十四条：安全培训机构有下列情形之一的，责令限期改正，处1万元以下的罚款；逾期未改正的，给予警告，处1万元以上3万元以下的罚款：</w:t>
            </w:r>
          </w:p>
          <w:p w14:paraId="5312F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t>（三）未建立培训档案或者培训档案管理不规范的。</w:t>
            </w:r>
          </w:p>
          <w:p w14:paraId="28CE6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CAE19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69C8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77FD7B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4511"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56EC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5</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F9E1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生产经营单位未如实记录事故隐患排查治理情况的。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CFA3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一般行业生产经营单位有证据证明开展了隐患排查治理，但未如实记录（故意对记录造假的除外），属于初次违法并及时改正，没有造成危害后果的。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75EF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0356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C3C30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F9C6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（五）未将事故隐患排查治理情况如实记录或者未向从业人员通报的。</w:t>
            </w:r>
          </w:p>
          <w:p w14:paraId="4CE63C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44987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5C3764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BAE91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4185"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CEB44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6</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EDFF8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生产经营单位未向从业人员通报事故隐患排查治理情况的。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25A99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一般行业生产经营单位开展了隐患排查治理工作，但未向从业人员通报（重大事故隐患除外），属于初次违法并及时改正，没有造成危害后果的。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FEFCF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8E1F9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BDC2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4553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（五）未将事故隐患排查治理情况如实记录或者未向从业人员通报的。</w:t>
            </w:r>
          </w:p>
          <w:p w14:paraId="11DF35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73D32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02EFA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341C80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3753"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96CCF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7</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933F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生产经营单位未依法依规制定生产安全事故应急救援预案，或未按照规定定期组织应急预案演练的。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AAF7B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805C0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6ED55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B69F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95810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（六）未按照规定制定生产安全事故应急救援预案或者未定期组织演练的。</w:t>
            </w:r>
          </w:p>
          <w:p w14:paraId="3D0FB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74CBCD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0BB84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2D7AAF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864"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EFF7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8</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CC559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生产经营单位在应急预案编制前未按照规定开展风险辨识、评估和应急资源调查的。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45491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913CF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802A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A2A1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《生产安全事故应急预案管理办法》第四十五条：生产经营单位有下列情形之一的，由县级以上人民政府应急管理部门责令限期改正，可以处1万元以上3万元以下罚款：</w:t>
            </w:r>
          </w:p>
          <w:p w14:paraId="215801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在应急预案编制前未按照规定开展风险辨识、评估和应急资源调查的。</w:t>
            </w:r>
          </w:p>
          <w:p w14:paraId="26DAF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23787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704661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3C4B4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861"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69230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9</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1D939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bookmarkStart w:id="0" w:name="RANGE!B18"/>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生产经营单位未按照规定组织应急预案评审</w:t>
            </w:r>
            <w:bookmarkEnd w:id="0"/>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CAFF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9A87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C9D9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FE3E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《生产安全事故应急预案管理办法》第四十五条：生产经营单位有下列情形之一的，由县级以上人民政府应急管理部门责令限期改正，可以处1万元以上3万元以下罚款：</w:t>
            </w:r>
          </w:p>
          <w:p w14:paraId="0047B4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未按照规定开展应急预案评审的。</w:t>
            </w:r>
          </w:p>
          <w:p w14:paraId="6463D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526C41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56CB5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AE091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90"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26CD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10</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9372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生产经营单位未将事故风险的性质、影响范围和应急防范措施告知周边单位和人员。</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01592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一般行业生产经营单位未按要求告知周边可能影响的单位和人员，或告知内容不符合要求，但及时改正，没有造成危害后果的。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2902B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7765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731F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《生产安全事故应急预案管理办法》第四十五条：生产经营单位有下列情形之一的，由县级以上人民政府应急管理部门责令限期改正，可以处1万元以上3万元以下罚款：</w:t>
            </w:r>
          </w:p>
          <w:p w14:paraId="311CB0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事故风险可能影响周边单位、人员的，未将事故风险的性质、影响范围和应急防范措施告知周边单位和人员的。</w:t>
            </w:r>
          </w:p>
          <w:p w14:paraId="3A8F9C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012CB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F45A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654E9C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30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1039E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11</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A9C01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生产经营单位未按照规定开展应急预案评估的。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6B62D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DD9D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AFBF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B66C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《生产安全事故应急预案管理办法》第四十五条：生产经营单位有下列情形之一的，由县级以上人民政府应急管理部门责令限期改正，可以处1万元以上3万元以下罚款：</w:t>
            </w:r>
          </w:p>
          <w:p w14:paraId="5D081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未按照规定开展应急预案评估的。</w:t>
            </w:r>
          </w:p>
          <w:p w14:paraId="0D153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F4F0D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29D48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1B20AC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4625"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BECC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12</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CD6F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生产经营单位未按照规定进行应急预案修订并重新备案的。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0B14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F082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A9D05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835E7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序重新备案。</w:t>
            </w:r>
          </w:p>
          <w:p w14:paraId="275E3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第四十五条：生产经营单位有下列情形之一的，由县级以上人民政府应急管理部门责令限期改正，可以处1万元以上3万元以下罚款：</w:t>
            </w:r>
          </w:p>
          <w:p w14:paraId="491C21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未按照规定进行应急预案修订的；</w:t>
            </w:r>
          </w:p>
          <w:p w14:paraId="1354B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DE1A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ABB65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2081BC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3735"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3F25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13</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C7BA9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生产经营单位未为从业人员提供符合国家标准或者行业标准的劳动防护用品的。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A9B3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515C3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1D61D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4ACEB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B734B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（五）未为从业人员提供符合国家标准或者行业标准的劳动防护用品的。</w:t>
            </w:r>
          </w:p>
          <w:p w14:paraId="6E105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《中华人民共和国行政处罚法》第三十三条第一款市</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CE1CD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5626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4A0712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4301"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2D4D3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14</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CC919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生产经营单位未在有较大危险因素的生产经营场所和有关设施、设备上设置明显的安全警示标志的。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3BA2B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一般行业生产经营单位，有证据证明已设置安全警示标志，但位置不明显或者脱落后未及时张贴，属于初次违法且及时改正，没有造成危害后果的。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92C85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EB2DC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1AA11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FD6C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（一）未在有较大危险因素的生产经营场所和有关设施、设备上设置明显的安全警示标志的。</w:t>
            </w:r>
          </w:p>
          <w:p w14:paraId="08F20D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241B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29D2D3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0FFEF2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4466"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C3F0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15</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2A02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生产经营单位未建立健全特种作业人员档案的。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60155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一般行业生产经营单位，生产经营单位特种作业人员均取得特种作业操作证的，但未建立健全人员档案，属于初次违法并及时改正，没有造成危害后果的。</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63E4F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17E60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7552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《特种作业人员安全技术培训考核管理规定》第三十八条：生产经营单位未建立健全特种作业人员档案的，给予警告，并处1万元以下的罚款。</w:t>
            </w:r>
          </w:p>
          <w:p w14:paraId="07A9C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698B6C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6B8E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3E697F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3341"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5360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16</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E107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危险物品的生产、经营、储存以及矿山、金属冶炼生产经营单位未指定兼职应急救援人员的。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8CCF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属于初次违法且危害后果轻微并及时改正。</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386EB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DD587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907D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《安全生产违法行为行政处罚办法》第四十六条：危险物品的生产、经营、储存单位以及矿山、金属冶炼单位有下列行为之一的，责令改正，并可以处1万元以上3万元以下的罚款：</w:t>
            </w:r>
          </w:p>
          <w:p w14:paraId="23CE01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未建立应急救援组织或者生产经营规模较小、未指定兼职应急救援人员的。</w:t>
            </w:r>
          </w:p>
          <w:p w14:paraId="0260A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C304B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03216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7407E4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4226"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94725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17</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50D8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危险化学品经营企业未按规定时限申请变更危险化学品经营许可证的企业名称、主要负责人、注册地址等信息的。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48F0C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属于初次违法且危害后果轻微并及时改正的；危险化学品经营企业未在变更之日起20个工作日内提出申请，但在期限届满后20个工作日内提出申请。</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03E0B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BB14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0ED75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危险化学品安全使用许可证实施办法》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14:paraId="7CB2B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AD88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2FC0D4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7D7789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3903"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60F77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18</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25C47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工贸企业未按规定对有限空间作业进行辨识、提出防范措施、建立有限空间管理台账的。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64BAA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属于初次违法且危害后果轻微并及时改正的；有证据证明已开展有限空间辨识工作，安全管理措施健全，但有限空间辨识不够全面。</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9197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B7584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6B54A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14:paraId="602C3C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(一)未按照本规定对有限空间作业进行辨识、提出防范措施、建立有限空间管理台账的。</w:t>
            </w:r>
          </w:p>
          <w:p w14:paraId="0CE05D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B973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24BD6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84974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FC620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19</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6E1A2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烟花爆竹批发企业未按规定时限申请及时变更批发许可证的企业名称、主要负责人、注册地址等信息的。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25232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烟花爆竹批发企业，属于初次违法且危害后果轻微并及时改正的；未在到期变更之日起10个工作日内提出变更申请，但在期限届满后20个工作日内提出申请。</w:t>
            </w: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12B2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F9C2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03BCF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《烟花爆竹经营许可实施办法》第三十二条：批发企业有下列行为之一的，责令其限期改正，处5000元以上3万元以下的罚款：</w:t>
            </w:r>
          </w:p>
          <w:p w14:paraId="09455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变更企业名称、主要负责人、注册地址，未申请办理许可证变更手续的。</w:t>
            </w:r>
          </w:p>
          <w:p w14:paraId="72536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《中华人民共和国行政处罚法》第三十三条第一款</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EC871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行政约谈，采取签订承诺书等方式教育、引导、督促其自觉守法，对再次违反的当事人应严格按照规定予以行政处罚。</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107D5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3945E0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B2FA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20</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252FD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对未按照规定对从业人员、被派遣劳动者、实习学生进行安全生产教育和培训，或者未按照规定如实告知有关的安全生产事项的处罚。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6AB9D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EF7C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未按照规定进行安全生产教育和培训，或者未按照规定如实告知有关的安全生产事项，涉及人数有3人以下的；责令限期整改后立即开展培训，且未导致发生生产安全事故等其他严重后果的。</w:t>
            </w:r>
          </w:p>
          <w:p w14:paraId="36E494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责令限期整改后立即告知，且未导致发生生产安全事故等其他严重后果的。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E007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3A3A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86EE1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（三）未按照规定对从业人员、被派遣劳动者、实习学生进行安全生产教育和培训，或者未按照规定如实告知有关的安全生产事项的；</w:t>
            </w:r>
          </w:p>
          <w:p w14:paraId="03F5C2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《中华人民共和国行政处罚法》第三十二条：当事人有下列情形之一，应当从轻或者减轻行政处罚：</w:t>
            </w:r>
          </w:p>
          <w:p w14:paraId="50B4D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（一）主动消除或者减轻违法行为危害后果的；</w:t>
            </w:r>
          </w:p>
          <w:p w14:paraId="6A7EEF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（二）受他人胁迫或者诱骗实施违法行为的；</w:t>
            </w:r>
          </w:p>
          <w:p w14:paraId="1238FA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（三）主动供述行政机关尚未掌握的违法行为的；</w:t>
            </w:r>
          </w:p>
          <w:p w14:paraId="50D67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（四）配合行政机关查处违法行为有立功表现的；</w:t>
            </w:r>
          </w:p>
          <w:p w14:paraId="3284C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（五）法律、法规、规章规定其他应当从轻或者减轻行政处罚的。（下同，略）</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E6F54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24F33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033632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7FFE3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21</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68E8F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对未如实记录安全生产教育和培训情况处罚。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BFEC1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96FCE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已开展安全培训教育，并进行记录，但记录不全，责令限期整改后立即如实记录，且未导致发生生产安全事故等其他严重后果的。</w:t>
            </w:r>
          </w:p>
          <w:p w14:paraId="49FD8E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533F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F461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40D7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（四）未如实记录安全生产教育和培训情况的。</w:t>
            </w:r>
          </w:p>
          <w:p w14:paraId="1C8BEC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967D9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80D4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0A4ADE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899A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22</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DD756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对未将事故隐患排查治理情况如实记录或者未向从业人员通报的处罚。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F89DA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91AA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已如实记录事故隐患排查治理情况但未告知从业人员，且未因此导致发生生产安全事故等其他严重后果，责令限期整改后立即告知的。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35D9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E03C2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5AF6D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（五）未将事故隐患排查治理情况如实记录或者未向从业人员通报的；</w:t>
            </w:r>
          </w:p>
          <w:p w14:paraId="24D7C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1F333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66CA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128495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84CAD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23</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2BAE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对未按照规定制定生产安全事故应急救援预案或者未定期组织演练的处罚。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4933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17EF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制定有生产安全事故应急救援预案但未定期组织演练，责令限期整改后立即组织实施演练，且未导致发生生产安全事故等其他严重后果的。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1B15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35C06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EB846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（六）未按照规定制定生产安全事故应急救援预案或者未定期组织演练的；</w:t>
            </w:r>
          </w:p>
          <w:p w14:paraId="6107A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02C0F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5DD349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12E572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3D730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24</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4C482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对生产经营单位的主要负责人未履行《中华人民共和国安全生产法》《内蒙古自治区安全生产条例》规定的安全生产管理职责的处罚。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A90F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59A0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仅有一条法定职责未履行，责令限期整改后改正，且未导致发生生产安全事故等其他严重后果的。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3DB8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2D6DC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p w14:paraId="483391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五条：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p>
          <w:p w14:paraId="4B0ED1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内蒙古自治区安全生产条例》第六十三条第一款：生产经营单位负责人及相关管理人员违反本条例第十三条规定的，责令限期改正，处2万元以上5万元以下的罚款；逾期未改正的，处5万元以上10万元以下的罚款，责令生产经营单位停产停业整顿。</w:t>
            </w:r>
          </w:p>
          <w:p w14:paraId="61B98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08A18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0309B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05DC8E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416FF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25</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CD441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对生产经营单位的其他负责人和安全生产管理人员未履行《中华人民共和国安全生产法》《内蒙古自治区安全生产条例》规定的安全生产管理职责的处罚。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D8E5F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77C80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仅有一条法定职责未履行，责令限期整改后改正，且未导致发生生产安全事故等其他严重后果的。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618F9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34B7C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197529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60290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7F369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6B12B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E6FE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26</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D7CA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对危险物品的生产、经营、储存、装卸单位以及矿山、金属冶炼的主要负责人和安全生产管理人员未按照规定经考核合格的处罚。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48E6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AA0D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危险物品的生产、经营、储存、装卸单位以及矿山、金属冶炼的主要负责人自任职满6个月内，但未满9个月，未考核合格，且未导致发生生产安全事故等其他严重后果的。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0D140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9FDD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D832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（二）危险物品的生产、经营、储存、装卸单位以及矿山、金属冶炼、建筑施工、运输单位的主要负责人和安全生产管理人员未按照规定经考核合格的。</w:t>
            </w:r>
          </w:p>
          <w:p w14:paraId="08B96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720EC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54C62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6EECF1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592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6901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27</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F9C1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对未在有较大危险因素的生产经营场所和有关设施、设备上设置明显的安全警示标志的处罚。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D644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0C3B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在有较大危险因素的生产经营场所和有关设施、设备上大部分均设置明显安全警示标志，未设置明显的安全警示标志，有3处以下的，责令限期整改后立即如实记录，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5627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3597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81434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（一）未在有较大危险因素的生产经营场所和有关设施、设备上设置明显的安全警示标志的。</w:t>
            </w:r>
          </w:p>
          <w:p w14:paraId="363AE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768EDA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235BF2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8183C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85502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28</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002D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对安全设备的安装、使用、检测、改造和报废不符合国家标准或者行业标准的处罚。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D015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386FA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安全设备的安装、使用、检测、改造和报废大部分符合国家标准或者行业标准，仅有1台（套）不符合国家标准或者行业标准的处罚；责令限期整改后立即改正，且未导致发生生产安全事故等其他严重后果的。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441C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F6B28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2CF5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（二）安全设备的安装、使用、检测、改造和报废不符合国家标准或者行业标准的。</w:t>
            </w:r>
          </w:p>
          <w:p w14:paraId="7679D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2A24A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62AFC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6FC1A8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90"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36D2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29</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91407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对未为从业人员提供符合国家标准或者行业标准的劳动防护用品的处罚。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2392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48EE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已提供劳动防护用品，部分劳动防护用品过期未检；新入职6个月人员未提供符合国家标准或者行业标准的劳动防护用品；责令限期整改后立即配置符合标准的劳动防护用品，且未导致发生生产安全事故等其他严重后果的。</w:t>
            </w:r>
          </w:p>
          <w:p w14:paraId="5F2F7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5A0EB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F80E9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p w14:paraId="59F57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747FC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5328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2CB10E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CF6E0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30</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DD42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对生产、经营、运输、储存、使用危险物品或者处置废弃危险物品，未建立专门安全管理制度、未采取可靠的安全措施的处罚。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977BF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18CF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生产、经营、运输、储存、使用危险物品或者处置废弃危险物品，未建立专门安全管理制度或者未采取可靠的安全措施的，责令限期整改后立即改正，且未导致发生生产安全事故等其他严重后果的。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23AE9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31017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B4191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（一）生产、经营、运输、储存、使用危险物品或者处置废弃危险物品，未建立专门安全管理制度、未采取可靠的安全措施的。</w:t>
            </w:r>
          </w:p>
          <w:p w14:paraId="03CD0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50B704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0F6D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45B718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5CA1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31</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FB160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对重大危险源未登记建档，未进行定期检测、评估、监控，未制定应急预案，或者未告知应急措施的处罚。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FD3A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11EC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对重大危险源未登记建档，或者未进行定期检测、评估、监控，或者未制定应急预案，或者未告知应急措施涉及其中1项，责令限期整改后立即改正，且未导致发生生产安全事故等其他严重后果的。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541BD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E6C3E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43E7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（二）对重大危险源未登记建档，未进行定期检测、评估、监控，未制定应急预案，或者未告知应急措施的。</w:t>
            </w:r>
          </w:p>
          <w:p w14:paraId="7735BD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DF25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1937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D29F9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0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007D2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32</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39E6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对生产经营单位未采取措施消除事故隐患的处罚。</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7AC2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817E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未对一般事故隐患采取措施消除的；责令限期整改后立即改正，且未导致发生生产安全事故等其他严重后果的。</w:t>
            </w: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23C3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CB269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51BCA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F084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1A90DB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7213F3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AB387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33</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F501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矿山企业未依法办理安全生产许可证变更手续。</w:t>
            </w:r>
          </w:p>
          <w:p w14:paraId="7DE86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67C3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F33F4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逾期15个工作日内申请变更安全生产许可证，且未导致发生生产安全事故等其他严重后果的。</w:t>
            </w:r>
          </w:p>
          <w:p w14:paraId="397BC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14E40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53A0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非煤矿矿山企业安全生产许可证实施办法》第四十四条第一款：非煤矿矿山企业在安全生产许可证有效期内，出现需要变更安全生产许可证的情形，未按本实施办法第二十一条的规定申请、办理变更手续的，责令限期办理变更手续，并处1万元以上3万元以下罚款。</w:t>
            </w:r>
          </w:p>
          <w:p w14:paraId="561269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B6FC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A1781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2041EA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50CAE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34</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287D2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危险化学品生产企业未依法办理安全生产许可证变更手续。</w:t>
            </w:r>
          </w:p>
          <w:p w14:paraId="19AE8B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2DCAB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CA293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p w14:paraId="14E419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逾期15个工作日内申请变更安全生产许可证，且未导致发生生产安全事故等其他严重后果的。</w:t>
            </w:r>
          </w:p>
          <w:p w14:paraId="40CCC8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340F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38B6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危险化学品生产企业安全生产许可证实施办法》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14:paraId="7C0318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6CDE93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628AA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11AF53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09C0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35</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81372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危险化学品使用企业未依法申请变更安全使用许可证。</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9CC30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B974D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逾期30个工作日内申请变更安全使用许可证，且未导致发生生产安全事故等其他严重后果的。</w:t>
            </w:r>
          </w:p>
          <w:p w14:paraId="1E0D8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4374B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A97A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危险化学品安全使用许可证实施办法》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14:paraId="4EE3B7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3080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6912D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4713E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6B17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36</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4BF1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生产、储存、使用危险化学品的单位未依法进行安全评价。</w:t>
            </w:r>
          </w:p>
          <w:p w14:paraId="373D0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3280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1409A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逾期3个月内进行安全评价，提出安全评价报告的，且未导致发生生产安全事故等其他严重后果的。</w:t>
            </w:r>
          </w:p>
          <w:p w14:paraId="7765C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58EA8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7BFE1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11E54A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（三）未依照本条例规定对其安全生产条件定期进行安全评价的。</w:t>
            </w:r>
          </w:p>
          <w:p w14:paraId="4B88F4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73159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684FFD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73A066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06A90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37</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14BE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安全评价检测检验机构未依法申请变更机构信息。</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F5FE5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10F7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逾期30日内申请变更机构信息，且未导致发生生产安全事故等其他严重后果的。</w:t>
            </w:r>
          </w:p>
          <w:p w14:paraId="7989C1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5AE9E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B585B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14:paraId="4DD94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（五）机构名称、注册地址、实验室条件、法定代表人、专职技术负责人、授权签字人发生变化之日起三十日内未向原资质认可机关提出变更申请的。</w:t>
            </w:r>
          </w:p>
          <w:p w14:paraId="3D9615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6C5F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77579D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3D4FA7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9AA7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38</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8772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生产经营单位未按照规定对矿山、金属冶炼建设项目或者用于生产、储存、装卸危险物品的建设项目进行安全评价的。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AA01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90B7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D88D4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生产经营单位未将建设项目投入生产或者使用，未造成危害后果或危害后果轻微，能够及时改正的；或能够配合监管部门查处其他安全生产违法行为有立功表现的。</w:t>
            </w: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E2CAA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4CD080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未按照规定对矿山、金属冶炼建设项目或者用于生产、储存、装卸危险物品的建设项目进行安全评价的；</w:t>
            </w:r>
          </w:p>
          <w:p w14:paraId="1F8B47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《中华人民共和国行政处罚法》第三十二条：当事人有下列情形之一，应当从轻或者减轻行政处罚：</w:t>
            </w:r>
          </w:p>
          <w:p w14:paraId="5383CD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（一）主动消除或者减轻违法行为危害后果的；</w:t>
            </w:r>
          </w:p>
          <w:p w14:paraId="702A25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（二）受他人胁迫或者诱骗实施违法行为的；</w:t>
            </w:r>
          </w:p>
          <w:p w14:paraId="6ADA32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（三）主动供述行政机关尚未掌握的违法行为的；</w:t>
            </w:r>
          </w:p>
          <w:p w14:paraId="243775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（四）配合行政机关查处违法行为有立功表现的；</w:t>
            </w:r>
          </w:p>
          <w:p w14:paraId="2F22F0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（五）法律、法规、规章规定其他应当从轻或者减轻行政处罚的。（下同，略）</w:t>
            </w:r>
          </w:p>
          <w:p w14:paraId="5817D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5B68CC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211310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05F2DC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19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E8565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39</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293A4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矿山、金属冶炼建设项目或者用于生产、储存、装卸危险物品的建设项目没有安全设施设计或者安全设施设计未按照规定报经有关部门审查同意的。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BD77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AA644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6C2F6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生产经营单位未将建设项目投入生产或者使用，未造成危害后果或危害后果轻微，能够及时改正的；或能够配合监管部门查处其他安全生产违法行为有立功表现的。</w:t>
            </w: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E066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19091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（二）矿山、金属冶炼建设项目或者用于生产、储存、装卸危险物品的建设项目没有安全设施设计或者安全设施设计未按照规定报经有关部门审查同意的；</w:t>
            </w:r>
          </w:p>
          <w:p w14:paraId="4ACE64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5A721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0D23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0F9BC7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A8448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40</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4B512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矿山、金属冶炼建设项目或者用于生产、储存、装卸危险物品的建设项目的施工单位未按照批准的安全设施设计施工的。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CAFF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94B49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1C3A2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生产经营单位未将建设项目投入生产或者使用，未造成危害后果或危害后果轻微，能够及时改正的；或能够配合监管部门查处其他安全生产违法行为有立功表现的。</w:t>
            </w: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D621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22F55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（三）矿山、金属冶炼建设项目或者用于生产、储存、装卸危险物品的建设项目的施工单位未按照批准的安全设施设计施工的；</w:t>
            </w:r>
          </w:p>
          <w:p w14:paraId="24495A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0179F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BC1A7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4C0907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E02A2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41</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0A40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矿山、金属冶炼建设项目或者用于生产、储存、装卸危险物品的建设项目竣工投入生产或者使用前，安全设施未经验收合格的。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0929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33ADE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2C3E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生产经营单位未将建设项目投入生产或者使用，未造成危害后果或危害后果轻微，能够及时改正的；或能够配合监管部门查处其他安全生产违法行为有立功表现的。</w:t>
            </w: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4685C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79D16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（四）矿山、金属冶炼建设项目或者用于生产、储存、装卸危险物品的建设项目竣工投入生产或者使用前，安全设施未经验收合格的。</w:t>
            </w:r>
          </w:p>
          <w:p w14:paraId="6BFE70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46F3A9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6F131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r w14:paraId="51D59F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auto"/>
          <w:tblCellMar>
            <w:top w:w="0" w:type="dxa"/>
            <w:left w:w="0" w:type="dxa"/>
            <w:bottom w:w="0" w:type="dxa"/>
            <w:right w:w="0" w:type="dxa"/>
          </w:tblCellMar>
        </w:tblPrEx>
        <w:trPr>
          <w:gridAfter w:val="4"/>
          <w:wAfter w:w="4000" w:type="dxa"/>
          <w:trHeight w:val="1978" w:hRule="atLeast"/>
          <w:tblCellSpacing w:w="0" w:type="dxa"/>
        </w:trPr>
        <w:tc>
          <w:tcPr>
            <w:tcW w:w="685"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2D00C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center"/>
              <w:textAlignment w:val="auto"/>
              <w:rPr>
                <w:rFonts w:hint="default"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42</w:t>
            </w:r>
          </w:p>
        </w:tc>
        <w:tc>
          <w:tcPr>
            <w:tcW w:w="204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3D8CF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生产经营单位将生产经营项目、场所、设备发包或者出租给不具备安全生产条件或者相应资质的单位或者个人的。</w:t>
            </w:r>
          </w:p>
        </w:tc>
        <w:tc>
          <w:tcPr>
            <w:tcW w:w="1404"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45E9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32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AFEB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tc>
        <w:tc>
          <w:tcPr>
            <w:tcW w:w="159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6940A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未发生事故，且能够主动消除违法后果或能够配合监管部门查处其他安全生产违法行为有立功表现的。</w:t>
            </w:r>
          </w:p>
        </w:tc>
        <w:tc>
          <w:tcPr>
            <w:tcW w:w="455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E0D5B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32E728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《中华人民共和国行政处罚法》第三十二条</w:t>
            </w:r>
          </w:p>
        </w:tc>
        <w:tc>
          <w:tcPr>
            <w:tcW w:w="2385"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3FF7D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包容执法、行政回访。</w:t>
            </w:r>
          </w:p>
        </w:tc>
        <w:tc>
          <w:tcPr>
            <w:tcW w:w="1560" w:type="dxa"/>
            <w:gridSpan w:val="2"/>
            <w:tcBorders>
              <w:top w:val="outset" w:color="auto" w:sz="6" w:space="0"/>
              <w:left w:val="outset" w:color="auto" w:sz="6" w:space="0"/>
              <w:bottom w:val="outset" w:color="auto" w:sz="6" w:space="0"/>
              <w:right w:val="outset" w:color="auto" w:sz="6" w:space="0"/>
            </w:tcBorders>
            <w:shd w:val="clear" w:color="auto" w:fill="auto"/>
            <w:noWrap w:val="0"/>
            <w:vAlign w:val="center"/>
          </w:tcPr>
          <w:p w14:paraId="51FF06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t>市应急管理局</w:t>
            </w:r>
          </w:p>
        </w:tc>
      </w:tr>
    </w:tbl>
    <w:p w14:paraId="5F6B5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tLeast"/>
        <w:ind w:left="0" w:right="0" w:firstLine="0" w:firstLine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fill="FFFFFF"/>
          <w:lang w:val="en-US" w:eastAsia="zh-CN" w:bidi="ar"/>
        </w:rPr>
      </w:pPr>
    </w:p>
    <w:p w14:paraId="0C6D99C1">
      <w:pPr>
        <w:rPr>
          <w:rFonts w:hint="eastAsia" w:ascii="国标仿宋" w:hAnsi="国标仿宋" w:eastAsia="国标仿宋" w:cs="国标仿宋"/>
          <w:sz w:val="32"/>
          <w:szCs w:val="32"/>
          <w:lang w:eastAsia="zh-CN"/>
        </w:rPr>
      </w:pPr>
    </w:p>
    <w:p w14:paraId="51D4A8BB">
      <w:pPr>
        <w:keepNext w:val="0"/>
        <w:keepLines w:val="0"/>
        <w:pageBreakBefore w:val="0"/>
        <w:kinsoku/>
        <w:wordWrap/>
        <w:overflowPunct/>
        <w:topLinePunct w:val="0"/>
        <w:autoSpaceDE/>
        <w:autoSpaceDN/>
        <w:bidi w:val="0"/>
        <w:adjustRightInd/>
        <w:spacing w:beforeAutospacing="0" w:afterAutospacing="0" w:line="560" w:lineRule="exact"/>
      </w:pPr>
    </w:p>
    <w:sectPr>
      <w:footerReference r:id="rId3" w:type="default"/>
      <w:type w:val="continuous"/>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宋体-GB13000">
    <w:altName w:val="宋体"/>
    <w:panose1 w:val="02000500000000000000"/>
    <w:charset w:val="86"/>
    <w:family w:val="auto"/>
    <w:pitch w:val="default"/>
    <w:sig w:usb0="00000000" w:usb1="00000000" w:usb2="00000016" w:usb3="00000000" w:csb0="0004000F" w:csb1="00000000"/>
  </w:font>
  <w:font w:name="国标仿宋">
    <w:altName w:val="仿宋"/>
    <w:panose1 w:val="020005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62F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A4BB3">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7A4BB3">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MjE0NTEzNDI1ZjlhZGRhY2UzYzI5M2MxZGE5OGUifQ=="/>
  </w:docVars>
  <w:rsids>
    <w:rsidRoot w:val="00000000"/>
    <w:rsid w:val="14FC5027"/>
    <w:rsid w:val="1A583E64"/>
    <w:rsid w:val="21EA4E73"/>
    <w:rsid w:val="23351C10"/>
    <w:rsid w:val="28250EB1"/>
    <w:rsid w:val="38AF0C87"/>
    <w:rsid w:val="495A4B31"/>
    <w:rsid w:val="4B77780C"/>
    <w:rsid w:val="4BB539FB"/>
    <w:rsid w:val="4CD40D7B"/>
    <w:rsid w:val="4FFBB3D8"/>
    <w:rsid w:val="52C65B9C"/>
    <w:rsid w:val="57F07D96"/>
    <w:rsid w:val="59EE57D1"/>
    <w:rsid w:val="59FFC5B3"/>
    <w:rsid w:val="5B2654CB"/>
    <w:rsid w:val="64480A16"/>
    <w:rsid w:val="674D58B6"/>
    <w:rsid w:val="679C2DC3"/>
    <w:rsid w:val="68393BD4"/>
    <w:rsid w:val="7517E810"/>
    <w:rsid w:val="75357B49"/>
    <w:rsid w:val="77B71542"/>
    <w:rsid w:val="7CFDBD78"/>
    <w:rsid w:val="7ED7BD58"/>
    <w:rsid w:val="E9F64617"/>
    <w:rsid w:val="F3FC6F49"/>
    <w:rsid w:val="F97D31B9"/>
    <w:rsid w:val="FB8F0761"/>
    <w:rsid w:val="FD7AE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Body Text First Indent"/>
    <w:basedOn w:val="3"/>
    <w:next w:val="1"/>
    <w:qFormat/>
    <w:uiPriority w:val="0"/>
    <w:pPr>
      <w:ind w:firstLine="420" w:firstLineChars="1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font11"/>
    <w:basedOn w:val="9"/>
    <w:qFormat/>
    <w:uiPriority w:val="0"/>
    <w:rPr>
      <w:rFonts w:hint="eastAsia" w:ascii="宋体" w:hAnsi="宋体" w:eastAsia="宋体" w:cs="宋体"/>
      <w:b/>
      <w:bCs/>
      <w:color w:val="000000"/>
      <w:sz w:val="24"/>
      <w:szCs w:val="24"/>
      <w:u w:val="none"/>
    </w:rPr>
  </w:style>
  <w:style w:type="character" w:customStyle="1" w:styleId="12">
    <w:name w:val="font21"/>
    <w:basedOn w:val="9"/>
    <w:qFormat/>
    <w:uiPriority w:val="0"/>
    <w:rPr>
      <w:rFonts w:hint="eastAsia" w:ascii="宋体" w:hAnsi="宋体" w:eastAsia="宋体" w:cs="宋体"/>
      <w:color w:val="000000"/>
      <w:sz w:val="24"/>
      <w:szCs w:val="24"/>
      <w:u w:val="none"/>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355</Words>
  <Characters>355</Characters>
  <Lines>0</Lines>
  <Paragraphs>0</Paragraphs>
  <TotalTime>4</TotalTime>
  <ScaleCrop>false</ScaleCrop>
  <LinksUpToDate>false</LinksUpToDate>
  <CharactersWithSpaces>370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611</cp:lastModifiedBy>
  <cp:lastPrinted>2025-06-12T06:55:00Z</cp:lastPrinted>
  <dcterms:modified xsi:type="dcterms:W3CDTF">2025-06-17T09:09:39Z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789A822C02C045E1B16F22634535EEFC_13</vt:lpwstr>
  </property>
  <property fmtid="{D5CDD505-2E9C-101B-9397-08002B2CF9AE}" pid="4" name="KSOTemplateDocerSaveRecord">
    <vt:lpwstr>eyJoZGlkIjoiZGVlNzljMGI2NjM2YzAwMzZkNTczYWIxMjA3NjU3MzAifQ==</vt:lpwstr>
  </property>
</Properties>
</file>